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בס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217420" cy="5867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586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לימוד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משפחתי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לחג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השבועות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40"/>
          <w:szCs w:val="40"/>
          <w:rtl w:val="1"/>
        </w:rPr>
        <w:t xml:space="preserve">לאן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40"/>
          <w:szCs w:val="40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40"/>
          <w:szCs w:val="40"/>
          <w:rtl w:val="1"/>
        </w:rPr>
        <w:t xml:space="preserve">נעלמה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40"/>
          <w:szCs w:val="40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קרוב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בלוח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העברי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לחג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השבועות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חזק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לחג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השבועות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מרכז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הלב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ניתנה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לכלל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שייכת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נתחלקה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לשבטים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בימי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חג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השבועות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מלאה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בעולי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רגלים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קיימו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מצוות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לרגל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הביאו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קורבנות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החג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והחלו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הביכורים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המקדש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נקדיש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לימודנו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לפתוח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הלימוד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בהצגת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ללומדים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מוזכרת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והיכן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ייתכן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שחלק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מהלומדים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ינסו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לנחש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הפעמים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נזכרת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למרבה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הפלא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התשובה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הנוכנה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מוזכרת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בשמה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והשאלה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המתבקשת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ייתכן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ייתכן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שהעיר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הקדושה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המקדש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מוזכרת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בשמה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ולו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???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ננסה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לענות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בדף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הלימוד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שלפנינו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שננסה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לענות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השאלה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נציין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העובדה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שלירושלים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חז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שבעים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וחלק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משמותיה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אכן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מוזכרים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נביא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לשמות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מוזכרים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בבראשית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נאמר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ְ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ָׁ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ומתרגם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אונקלוס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ומלכי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צדק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מלכא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ירושלם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אפיק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לחים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וחמר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משמיש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קדם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עלאה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מסביר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מוסיף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לבאר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נקראת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שלם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ומלכי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צדק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מלך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שלם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 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כענין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תהלים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עו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ויהי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בשלם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סוכו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ומלכה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יקרא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בימי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אדני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צדק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מאז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ידעו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הגוים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מבחר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המקומות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הישוב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שידעו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מעלתו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בקבלה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מכוון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המקדש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מעלה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ששם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שכינתו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הקב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שנקרא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צדק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ובבראשית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מצדיק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יושביו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ומלכי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צדק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אדוני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צדק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נקראת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ירושלם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צדק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ישעיה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צדק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ילין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נוסף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שמוזכר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המוריה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בבראשית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ֹּ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אמ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ָ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ָ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ָּ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ְ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ָ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ץ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ֹּ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ָׁ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יך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ורש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מבאר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נקראת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מוריה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וניתן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לעיין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ברמב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שהאריך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):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ארץ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המוריה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8"/>
          <w:szCs w:val="28"/>
          <w:rtl w:val="0"/>
        </w:rPr>
        <w:t xml:space="preserve"> 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בדברי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הימים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בירושלים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בהר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המוריה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ורבותינו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פירשו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שמשם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הוראה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יוצאה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לישראל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ואונקלוס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תרגמו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הקטורת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מור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נרד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ושאר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בשמים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נוסף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ומעניין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שמוצאים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זהו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השם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שנותן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עקידת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יראה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וכמו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בבראשית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ֵׁ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המעניין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שבספר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מדברים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רבות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לקרוא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בשמה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קוראים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יבחר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"" (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פרקים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הרגישו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בקושי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והציעו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תשובות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לשאלה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קראה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בשמה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נביא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after="0" w:lin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0" w:lin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החזקוני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מסביר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פירש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שהשכינה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שרתה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בכמה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גלגל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שילה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נוב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וגבעון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ובית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עולמים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וחייב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לתלמידו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קצרה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כיוון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השכינה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שרתה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בכמה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שנבנה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המקדש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בירושלים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כתבה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בלשון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כללית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יבחר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""-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כולל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ירולשים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המקומות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האחרים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במורה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נבוכים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מציע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שלושה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הסברים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נזכר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במפורש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ובפרט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ברמז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ונאמר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יבחר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אלהיך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לשום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שמו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לדעתי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שלושה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נימוקים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חוכמה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האחד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שהאומות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תחזקנה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תילחמנה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מלחמה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תדענה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שהמקום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תכלית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ישחיתוהו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שעתה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בידיהם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ויחריבוהו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יכולתם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והשלישי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החזק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שבהם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יבקש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שבט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בנחלתו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וישתלט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ותארע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מחלוקת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ומלחמת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אחים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שאירע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כשביקשו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הכהונה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הציווי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ייבנה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הבחירה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מלך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שהשליטה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בידי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ויתבטל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1"/>
        </w:rPr>
        <w:t xml:space="preserve">המאבק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כותבת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בשמה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חשש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ינהגו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                               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קדושה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במקומות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המשכן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בניין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           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כותבת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בשמה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האויבים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משחיתים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                            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העיר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לפגוע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בעיר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הקדושה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לעם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כפי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שרואים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כיום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                            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שלמרות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לאויבנו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אמיתי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מנסים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לקחתה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                            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מאיתנו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           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שלישי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כותבת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בשמה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נוצרת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                            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מחלוקת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גדולה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השבטים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                            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בחלקו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. 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והרמב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מציין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שזהו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ההסבר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הטוב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ההסברים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שניתנו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איזהו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סוד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עמוק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שהתורה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הסתירה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מאיתנו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אולי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ללמד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שאי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להשיג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בבת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עוצמתה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וקדושתה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לכסוף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אליה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ולהתחבר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אליה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לאט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לאט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הקב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רואה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הכיסופים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והכמיהה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מגלה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בכיבוש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זכה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לכבוש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מאות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מצליח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משתוקק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 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ומתפלל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בעליית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עזרא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ונחמיה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מוצאים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קשיים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בבניין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בדורנו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אויבנו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מסוגלים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העובדה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שזכינו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לשוב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אלפיים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גלות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והם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ככול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שביכולתם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ולקחת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מידינו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הסוד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הגדול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שהכול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תלוי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ככול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להקב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אוהבים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ורוצים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נזכה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שירושלים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1"/>
        </w:rPr>
        <w:t xml:space="preserve">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